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jc w:val="right"/>
      </w:pPr>
      <w:r>
        <w:t>City, DD Month 2026</w:t>
      </w:r>
    </w:p>
    <w:p/>
    <w:p>
      <w:r>
        <w:t>Dear …,</w:t>
      </w:r>
    </w:p>
    <w:p>
      <w:pPr>
        <w:jc w:val="both"/>
      </w:pPr>
      <w:r>
        <w:t>[ Body text. This letterhead carries the LUkraine header, the blue–gold accent bar and the mandatory legal footer. Body is justified; Arial 10.5 as the Office fallback for Inter. ]</w:t>
      </w:r>
    </w:p>
    <w:p/>
    <w:p>
      <w:r>
        <w:t>Kind regards,</w:t>
      </w:r>
    </w:p>
    <w:p>
      <w:r>
        <w:t>Name Surname</w:t>
      </w:r>
    </w:p>
    <w:p>
      <w:r>
        <w:rPr>
          <w:color w:val="5C737F"/>
        </w:rPr>
        <w:t>Role · LUkraine asbl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C737F"/>
        <w:sz w:val="16"/>
      </w:rPr>
      <w:t>LUkraine asbl · RCS F9931 · 33, Bvd Prince Henri, L-1724 Luxembourg · www.LUkraine.org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0295D6"/>
        <w:sz w:val="40"/>
      </w:rPr>
      <w:t>LU</w:t>
    </w:r>
    <w:r>
      <w:rPr>
        <w:b/>
        <w:color w:val="16384A"/>
        <w:sz w:val="40"/>
      </w:rPr>
      <w:t>kraine</w:t>
    </w: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4706"/>
      <w:gridCol w:w="4706"/>
    </w:tblGrid>
    <w:tr>
      <w:trPr>
        <w:trHeight w:val="100"/>
      </w:trPr>
      <w:tc>
        <w:tcPr>
          <w:tcW w:type="dxa" w:w="4706"/>
          <w:shd w:fill="0295D6"/>
        </w:tcPr>
        <w:p>
          <w:r>
            <w:rPr>
              <w:sz w:val="4"/>
            </w:rPr>
            <w:t xml:space="preserve"> </w:t>
          </w:r>
        </w:p>
      </w:tc>
      <w:tc>
        <w:tcPr>
          <w:tcW w:type="dxa" w:w="4706"/>
          <w:shd w:fill="DCB05D"/>
        </w:tcPr>
        <w:p>
          <w:r>
            <w:rPr>
              <w:sz w:val="4"/>
            </w:rPr>
            <w:t xml:space="preserve"> 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6384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